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31 июля 2020 № 475н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Медицинская сестра / медицинский брат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1332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«Оказание первичной доврачебной медико-санитарной помощи населению по профилю «сестринское дело»»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6" w:name="_Toc1"/>
      <w:r>
        <w:t>I. Общие сведения</w:t>
      </w:r>
      <w:bookmarkEnd w:id="6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среднего медицинского персонала в области сестринского дела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02.065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Сохранение и поддержание здоровья, улучшение качества жизни населения, оказание медицинской помощи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3221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Средний медицинский персонал по уходу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86.10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больничных организаций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86.90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в области медицины прочая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7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7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Оказание первичной доврачебной медико-санитарной помощи населению по профилю «сестринское дело»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Клиническое использование крови и (или) ее компонентов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A/06.5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8" w:name="_Toc3"/>
      <w:r>
        <w:t>III. Характеристика обобщенных трудовых функций</w:t>
      </w:r>
      <w:bookmarkEnd w:id="8"/>
    </w:p>
    <w:p>
      <w:pPr>
        <w:pStyle w:val="Heading2"/>
      </w:pPr>
      <w:bookmarkStart w:id="9" w:name="_Toc4"/>
      <w:r>
        <w:t>3.1. Обобщенная трудовая функция «Оказание первичной доврачебной медико-санитарной помощи населению по профилю «сестринское дело»»</w:t>
      </w:r>
      <w:bookmarkEnd w:id="9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первичной доврачебной медико-санитарной помощи населению по профилю «сестринское дело»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Медицинская сестра</w:t>
            </w:r>
          </w:p>
          <w:p>
            <w:pPr>
              <w:pStyle w:val="pTextStyle"/>
            </w:pPr>
            <w:r>
              <w:rPr/>
              <w:t xml:space="preserve">Медицинская сестра участковая</w:t>
            </w:r>
          </w:p>
          <w:p>
            <w:pPr>
              <w:pStyle w:val="pTextStyle"/>
            </w:pPr>
            <w:r>
              <w:rPr/>
              <w:t xml:space="preserve">Медицинская сестра патронажная</w:t>
            </w:r>
          </w:p>
          <w:p>
            <w:pPr>
              <w:pStyle w:val="pTextStyle"/>
            </w:pPr>
            <w:r>
              <w:rPr/>
              <w:t xml:space="preserve">Медицинская сестра приемного отделения</w:t>
            </w:r>
          </w:p>
          <w:p>
            <w:pPr>
              <w:pStyle w:val="pTextStyle"/>
            </w:pPr>
            <w:r>
              <w:rPr/>
              <w:t xml:space="preserve">Медицинская сестра палатная (постовая)</w:t>
            </w:r>
          </w:p>
          <w:p>
            <w:pPr>
              <w:pStyle w:val="pTextStyle"/>
            </w:pPr>
            <w:r>
              <w:rPr/>
              <w:t xml:space="preserve">Медицинская сестра перевязочной</w:t>
            </w:r>
          </w:p>
          <w:p>
            <w:pPr>
              <w:pStyle w:val="pTextStyle"/>
            </w:pPr>
            <w:r>
              <w:rPr/>
              <w:t xml:space="preserve">Медицинская сестра процедурной</w:t>
            </w:r>
          </w:p>
          <w:p>
            <w:pPr>
              <w:pStyle w:val="pTextStyle"/>
            </w:pPr>
            <w:r>
              <w:rPr/>
              <w:t xml:space="preserve">Медицинская сестра стерилизационной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«Сестринское дело»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«Сестринское дело»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</w:t>
            </w:r>
          </w:p>
          <w:p>
            <w:pPr>
              <w:pStyle w:val="pTextStyle"/>
            </w:pPr>
            <w:r>
              <w:rPr/>
              <w:t xml:space="preserve">Отсутствие ограничений на занятие профессиональной деятельностью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 целью профессионального роста и присвоения квалификационных категорий:</w:t>
            </w:r>
          </w:p>
          <w:p>
            <w:pPr>
              <w:pStyle w:val="pTextStyle"/>
            </w:pPr>
            <w:r>
              <w:rPr/>
              <w:t xml:space="preserve"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>
            <w:pPr>
              <w:pStyle w:val="pTextStyle"/>
            </w:pPr>
            <w:r>
              <w:rPr/>
              <w:t xml:space="preserve">- формирование профессиональных навыков через наставничество;</w:t>
            </w:r>
          </w:p>
          <w:p>
            <w:pPr>
              <w:pStyle w:val="pTextStyle"/>
            </w:pPr>
            <w:r>
              <w:rPr/>
              <w:t xml:space="preserve">- стажировка;</w:t>
            </w:r>
          </w:p>
          <w:p>
            <w:pPr>
              <w:pStyle w:val="pTextStyle"/>
            </w:pPr>
            <w:r>
              <w:rPr/>
              <w:t xml:space="preserve">- использование дистанционных образовательных технологий (образовательный портал и вебинары);</w:t>
            </w:r>
          </w:p>
          <w:p>
            <w:pPr>
              <w:pStyle w:val="pTextStyle"/>
            </w:pPr>
            <w:r>
              <w:rPr/>
              <w:t xml:space="preserve">- тренинги в симуляционных центрах;</w:t>
            </w:r>
          </w:p>
          <w:p>
            <w:pPr>
              <w:pStyle w:val="pTextStyle"/>
            </w:pPr>
            <w:r>
              <w:rPr/>
              <w:t xml:space="preserve">- участие в конгрессных мероприятиях</w:t>
            </w:r>
          </w:p>
          <w:p>
            <w:pPr>
              <w:pStyle w:val="pTextStyle"/>
            </w:pPr>
            <w:r>
              <w:rPr/>
              <w:t xml:space="preserve">Соблюдение врачебной тайны, принципов медицинской этики в работе с пациентами, их законными представителями и коллегами</w:t>
            </w:r>
          </w:p>
          <w:p>
            <w:pPr>
              <w:pStyle w:val="pTextStyle"/>
            </w:pPr>
            <w:r>
              <w:rPr/>
              <w:t xml:space="preserve"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3221.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Средний медицинский персонал по уходу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палатная (постовая)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патронажная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перевязочной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приемного отделения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процедурной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стерилизационной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участковая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24038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24267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кабинета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24270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патронажная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24271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перевязочной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24275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процедурной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24276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стерилизационной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3.34.02.01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Сестринское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оценки функциональной активности и самостоятельности пациента в самообслуживании, передвижении, общении; выявление потребности в посторонней помощи и сестринском уходе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медицинских манипуляций при оказании медицинской помощи пациенту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факторов риска падений, развития пролежней, осуществление профилактики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динамического наблюдения за показателями состояния здоровья пациента с последующим информированием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пациентами приема лекарственных препаратов, применения медицинских изделий, двигательного режима и лечебного питания по назначению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пациента (его законных представителей) и лиц, осуществляющих уход, приемам ухода и самоухода, консультирование по вопросам ухода и самоухода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подготовки пациента к медицинскому осмотру, исследованиям, лечебным и (или) диагностическим вмешательствам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инструментов и расходных материалов для проведения лечебных и (или) диагностических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забора биологического материала пациента для исследований по назначению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Получение, хранение, учет и применение лекарственных препаратов, медицинских изделий и лечебного питания в соответствии с нормативными правовыми актами и инструкцией по применению от производителя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Ассистирование врачу при выполнении медицинских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транспортной иммобилизации и наложение повязок по назначению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медицинской помощи в неотложной форме при внезапных острых заболеваниях, состояниях, обострении хронических заболеваний, отравлениях, травмах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интенсивности и характера болевого синдрома с использованием шкал оценки боли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сестринского ухода за пациентом, в том числе в терминальной стадии болезни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психологической поддержки пациенту в терминальной стадии болезни и его родственникам (законным представителям)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Участие в проведении мероприятий медицинской реабилитации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медицинские манипуляции при оказании медицинской помощи пациенту: - кормление тяжелобольного пациента через рот и/или назогастральный зонд, через гастростому; - установку назогастрального зонда и уход за назогастральным зондом; - введение питательных смесей через рот (сипинг); - хранение питательных смесей; - зондирование желудка, промывание желудка; - постановку горчичников, банок, пиявок; - применение грелки, пузыря со льдом; - наложение компресса; - отсасывание слизи из ротоглотки, из верхних дыхательных путей, из носа; - осуществление ухода за носовыми канюлями и катетером; - оказание пособия при трахеостоме, при фарингостоме; - оказание пособия при оростомах, эзофагостомах, гастростомах, илеостоме; - осуществление ухода за интестинальным зондом; - оказание пособия при стомах толстой кишки, введение бария через колостому; - осуществление ухода за дренажом; - оказание пособия при дефекации тяжелобольного пациента; - постановку очистительной клизмы; - постановку газоотводной трубки; - удаление копролитов; - оказание пособия при недержании кала; - постановку сифонной клизмы; - оказание пособия при мочеиспускании тяжелобольного пациента; - осуществление ухода за мочевым катетером; - осуществление ухода за цистостомой и уростомой; - оказание пособия при недержании мочи; - катетеризацию мочевого пузыря; - оказание пособия при парентеральном введении лекарственных препаратов; -введение лекарственных препаратов внутрикожно, внутримышечно, внутривенно, в очаг поражения кожи; -катетеризацию периферических вен, в том числе кубитальной; - непрерывное внутривенное введение лекарственных препаратов; - внутрипросветное введение в центральный венозный катетер антисептиков и лекарственных препаратов; - осуществление ухода за сосудистым катетером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интерпретировать реакции пациента на прием назначенных лекарственных препаратов и процедуры ухода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подготовку пациента к лечебным и (или) диагностическим вмешательствам по назначению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забор биологического материала пациента для лабораторных исследований по назначению лечащего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Ассистировать врачу при выполнении лечебных и (или) диагностических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транспортную иммобилизацию и накладывать повязки по назначению врача или совместно с врачом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интенсивности и характера болевого синдрома с использованием шкал оценки боли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психологическую поддержку пациенту в терминальной стадии болезни и его родственникам (законным представителям)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работу по проведению мероприятий медицинской реабилитации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и принципы лечебного питания пациентов в медицинской организации в зависимости от возраста и заболевания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подготовки пациента к медицинским вмешательствам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условиям забора, хранения и транспортировки биологического материала пациента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ассистирования врачу (фельдшеру) при выполнении лечебных или диагностических процедур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десмургии и транспортной иммобилизации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медицинской помощи в неотложной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оказания паллиативной медицинской помощи, методы, приемы и средства оценки интенсивности и контроля боли у пациентов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Признаки биологической смерти человека и процедуры, связанные с подготовкой тела умершего пациента к транспортировке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медицинской реабилитации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рабочего места и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экстренных профилактических мероприятий при возникновении аварийных ситуаций с риском инфицирования медицинских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дезинфекции и предстерилизационной очистки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упаковки медицинских изделий в соответствии с видом стерилизации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стерилизации медицинских изделий, контроль режимов стерилизации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контроля качества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хранения стерильных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Эксплуатация оборудования с соблюдением правил, инструкций по эксплуатации, требований охраны труда при работе в помещениях с асептическим режимом, в том числе в стерилизационном отделении (кабинете)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рабочее место и безопасную среду для проведения работ по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меры асептики и антисептики, принципы индивидуальной изоляции при выполнении медицинских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обеззараживание и временное хранение медицинских отходов в местах их образования 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требования охраны труда при обращении с острыми (колющими и режущими) инструментами, биологическими материалами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прием медицинских изделий в стерилизационном отделении (кабинете)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дезинфекцию и предстерилизационную очистку медицинских изделий ручным и механизированным способом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отбор проб для определения качества предстерилизационной очистки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сортировку и упаковку медицинских изделий в соответствии с видом стерилизации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Размещать индикаторы в стерилизаторах в соответствии с инструкцией по применению и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стерилизацию медицинских изделий, осуществлять контроль режимов стерилизации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хранение и выдачу стерильных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Подходы и методы многоуровневой профилактики инфекций, связанных с оказанием медицинской помощи (ИСМП)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Меры индивидуальной защиты медицинского персонала и пациентов при выполнении медицинских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асептики и антисептики, принцип индивидуальной изоляции при выполнении медицинских вмешательств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Санитарные правила обращения с медицинскими отходами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Виды, цели и задачи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приемы и средства ручной и механизированной предстерилизационной очистки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качества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правила хранения стерильных медицинских изделий, правила их выдачи в соответствии с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персонального учета (переписи) населения, проживающего на обслуживаемой территории поликлиники (образовательных учреждений) или прикрепленного к участку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санитарно-гигиеническому просвещению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индивидуального и группового консультирования населения по вопросам профилактики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пропаганде здорового образа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работы по проведению профилактических медицинских осмотров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работы по диспансеризации населения с учетом возраста, состояния здоровья, профессии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работы по диспансерному наблюдению пациентов при хронических заболеваниях и (или) состояниях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санитарно-противоэпидемических мероприятий по профилактике инфекционных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работы по проведению санитарно-противоэпидемических (профилактических) мероприятий при регистрации инфекционных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заболевших инфекционным заболеванием, контактных с ними лиц и подозрительных на заболевания инфекционными болезнями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списки граждан и план проведения диспансеризации населения с учетом возрастной категории и проводимых обследований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общественное мнение в пользу здорового образа жизни и мотивировать пациентов на ведение здорового образа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медицинский осмотр в соответствии с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доврачебный профилактический осмотр с целью выявления факторов риска развития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вакцинацию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работу по организации и проведению санитарно- противоэпидемических (профилактических) и ограничительных (карантинных) мероприятий при выявлении инфекционных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осмотр лиц и динамическое наблюдение за лицами, контактными с пациентами, заболевшими инфекционным заболеванием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Положение об организации оказания первичной медико-санитарной помощи взрослому населению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технологии, организационные формы, методы и средства санитарного просвещения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медицинских осмотров с учетом возраста, состояния здоровья, профессии в соответствии с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проведения профилактического осмотра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Меры профилактики инфекционных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контролю выполнения должностных обязанностей находящимся в распоряжении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обеспечению внутреннего контроля качества и безопасности медицинской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Использование медицинских информационных систем и информационно-телекоммуникационной сети «Интернет»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Использование в работе персональных данных пациентов и сведений, составляющих врачебную тайну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Заполнять медицинскую документацию,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работе медицинские информационные системы и информационно-телекоммуникационную сеть «Интернет»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работе персональные данные пациентов и сведения, составляющие врачебную тайну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за выполнением должностных обязанностей находящегося в распоряжении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в медицинских информационных системах и информационно-телекоммуникационной сети «Интернет»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обеспечению внутреннего контроля качества и безопасности медицинской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Должностные обязанности находящегося в распоряжении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Клиническое использование крови и (или) ее компонентов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своевременная замена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визуального контроля донорской крови и (или) ее компонентов на соответствие требованиям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транспортировка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Взятие и маркировка проб крови пациента (реципиента), которому планируется трансфузия (переливание), с целью осуществления подбора пары «донор - реципиент»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информации, содержащейся на этикетке контейнера с донорской кровью и (или) ее компонентом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предтрансфузионной подготовки донорской крови и (или) ее компонента (размораживание, согревание, прикроватная лейкофильтрация)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венозного доступа у пациента (реципиента): выполнение венепункции, подключение контейнера с донорской кровью и (или) его компонентом к периферическому или центральному венозному катетеру в случае его наличия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предтрансфузионной подготовки пациента (реципиента) в соответствии с назначениями врача: прекращение введения лекарственных препаратов на время трансфузии (переливания) донорской крови и (или) ее компонента (за исключением лекарственных препаратов, предназначенных для поддержания жизненно важных функций организма человека); осуществление назначенной премедикации с целью профилактики осложнений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результатов биологической пробы, контроль состояния пациента/реципиента во время и после трансфузии (переливания)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образцов крови пациента (реципиента), использованных для проведения проб на индивидуальную совместимость, а также контейнеров донорской крови и (или) ее компонентов после трансфузии (переливания)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Взятие образцов крови пациента/реципиента до и после трансфузии (переливания)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визуальный контроль донорской крови и (или) ее компонентов на соответствие требованиям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хранение и транспортировку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 - реципиент»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о групповой и резус-принадлежности)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рабочее пространство для проведения предтрансфузионного определения совместимости образцов эритроцитсодержащего компонента крови и образца крови пациента (реципиента)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предтрансфузионную подготовку компонента донорской крови (размораживание, согревание, прикроватная лейкофильтрация) в отделении (подразделении)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предтрансфузионную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премедикацию с целью профилактики осложнений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результаты биологической пробы, состояние реципиента во время и после трансфузии (переливания)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взятие образцов крови пациента/реципиента до и после трансфузии (переливания)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визуального контроля безопасности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хранения и транспортировки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 донорской крови и (или) ее компонентов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 - реципиент»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проведения биологической пробы при трансфузии (переливании)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маркировки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предтрансфузионного определения совместимости образцов эритроцитсодержащего компонента крови и образца крови пациента (реципиента) в отделении (подразделении)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предтрансфузионной подготовке пациента (реципиента) в соответствии с назначениями врача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иммуногематологии, понятие о системах групп крови, резус-принадлежности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групповой и резус-принадлежности крови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совместимости крови донора и пациента (реципиента)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Медицинские показания к трансфузии (переливанию)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Медицинские противопоказания к трансфузии (переливанию) донорской крови и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оказания медицинской помощи пациенту при возникновении посттрансфузионной реакции или осложнения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расследования посттрансфузионной реакции или осложнения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A/06.5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первичного осмотра пациента, оценка безопасности окружающей среды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состояния пациента, требующего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первичный осмотр пациента и оценку безопасности условий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мероприятия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сбора жалоб и анамнеза жизни и заболевания у пациентов (их законных представителей)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физикального исследования пациентов (осмотр, пальпация, перкуссия, аускультация)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Клинические признаки внезапного прекращения кровообращения и (или) дыхания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0" w:name="_Toc5"/>
      <w:r>
        <w:t>IV. Сведения об организациях – разработчиках профессионального стандарта</w:t>
      </w:r>
      <w:bookmarkEnd w:id="10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Общероссийская общественная организация «Ассоциация медицинских сестер России», город Санкт-Петербург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Саркисова Валентина Антоновна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Астраханская региональная общественная организация «Профессиональная сестринская ассоциация», город Астрахань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Вологодская региональная общественная организация «Ассоциация специалистов сестринского дела», город Вологда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ГБПОУ СПО «Медицинский колледж  1»,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ГБПОУ СПО «Рязанский медицинский колледж», город Рязань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ГБУЗ «Астраханская Александро-Мариинская областная клиническая больница», город Астрахань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ГБУЗ «Ленинградская областная клиническая больница», город Санкт- 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ГБУЗ «Омская областная клиническая больница», город Омск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ГБУЗ «Первый Московский хоспис имени В. В. Миллионщиковой» Департамента здравоохранения города Москвы,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Забайкальская региональная общественная организация «Профессиональные медицинские специалисты», город Чита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Ивановская областная общественная организация по защите прав и интересов специалистов со средним медицинским образованием, город Иваново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Кемеровская региональная общественная организация «Профессиональная ассоциация медицинских сестер Кузбасса», город Кемерово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Кировская областная общественная организация «Ассоциация медицинских сестер», город Киров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Общественная организация Ассоциация организаций, содействующих деятельности специалистов с высшим сестринским, средним медицинским и фармацевтическим образованием «Союз медицинских профессиональных организаций»,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Омская региональная общественная организация «Омская профессиональная сестринская ассоциация», город Омск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Региональная общественная организация «Ассоциация средних медицинских работников Республики Марий Эл», город Йошкар-Ола, Республика Марий Эл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Региональная общественная организация «Новосибирская профессиональная ассоциация специалистов сестринского дела», город Новосибирск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Региональная общественная организация Ленинградской области «Профессиональная ассоциация специалистов сестринского дела»,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Региональная общественная организация медицинских сестер Москвы,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Республиканская общественная организация «Ассоциация средних медицинских работников Республики Саха (Якутия)», город Якутск, Республика Саха (Якутия)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Самарская региональная общественная организация медицинских сестер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Тюменская региональная общественная организация «Тюменская областная профессиональная сестринская ассоциация», город Тюмень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«Тюменский государственный медицинский университет» Министерства здравоохранения Российской Федерации, город Тюмень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СПО «Санкт-Петербургский медико-технический колледж» Федерального медико-биологического агентства, город Санкт-Петербург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2022-01-13T12:02:24+03:00</dcterms:created>
  <dcterms:modified xsi:type="dcterms:W3CDTF">2022-01-13T12:02:24+03:00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